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2EA1" w14:textId="24574F57" w:rsidR="004C5F08" w:rsidRPr="000F7789" w:rsidRDefault="00970EFE" w:rsidP="00585F10">
      <w:pPr>
        <w:pStyle w:val="Overskrift1"/>
      </w:pPr>
      <w:r w:rsidRPr="000F7789">
        <w:t>Prioriteringar, prinsipp</w:t>
      </w:r>
      <w:r w:rsidR="00B96CD8">
        <w:t xml:space="preserve"> </w:t>
      </w:r>
      <w:r w:rsidR="003E1509">
        <w:t xml:space="preserve">og satsar </w:t>
      </w:r>
      <w:r w:rsidRPr="000F7789">
        <w:t>for tildeling av statleg driftstilskot til høgare yrkesfagleg utdanning for 202</w:t>
      </w:r>
      <w:r w:rsidR="0085126C">
        <w:t>5</w:t>
      </w:r>
      <w:r w:rsidRPr="000F7789">
        <w:t xml:space="preserve"> i Møre og Romsdal</w:t>
      </w:r>
    </w:p>
    <w:p w14:paraId="2D2D4D6D" w14:textId="18A2677D" w:rsidR="009A36D5" w:rsidRDefault="009A36D5">
      <w:r>
        <w:t>Fylkeskommunen skal etter lov om høgare yrkesfagleg utdanning</w:t>
      </w:r>
      <w:r w:rsidR="008F3318">
        <w:t xml:space="preserve"> sørge for at </w:t>
      </w:r>
      <w:r w:rsidR="00593C0C">
        <w:t>fylket har tilbod om</w:t>
      </w:r>
      <w:r w:rsidR="005F3E7A">
        <w:t xml:space="preserve"> akkreditert høgare yrkesfagleg utdanning (HYU) i samsvar med behovet for kompetanse lokalt, regionalt og nasjonalt. HYU skal gi kompetanse for å lø</w:t>
      </w:r>
      <w:r w:rsidR="00606244">
        <w:t xml:space="preserve">yse oppgåver i arbeidslivet utan fleire opplæringstiltak og </w:t>
      </w:r>
      <w:r w:rsidR="004D73B9">
        <w:t>vere i tråd med behovet for kvalifisert arbeidskraft i samfunnet.</w:t>
      </w:r>
    </w:p>
    <w:p w14:paraId="38D1903D" w14:textId="34CCB017" w:rsidR="004D73B9" w:rsidRDefault="002641D0">
      <w:r>
        <w:t>Direktoratet for høgare utdanning og kompetanse</w:t>
      </w:r>
      <w:r w:rsidR="005E4EFB">
        <w:t xml:space="preserve"> (HK-</w:t>
      </w:r>
      <w:proofErr w:type="spellStart"/>
      <w:r w:rsidR="005E4EFB">
        <w:t>dir</w:t>
      </w:r>
      <w:proofErr w:type="spellEnd"/>
      <w:r w:rsidR="005E4EFB">
        <w:t xml:space="preserve">), har gitt fylkeskommunane i oppdrag å fordele vidare tilskot </w:t>
      </w:r>
      <w:r w:rsidR="009F5BF3">
        <w:t>til private og offentlege fagskolar i Møre og Romsdal</w:t>
      </w:r>
      <w:r w:rsidR="00427847">
        <w:t>. Det er opp til fylkeskommunen å bestemme kva prinsipp som leggast til grunn for tildelinga</w:t>
      </w:r>
      <w:r w:rsidR="00AE311F">
        <w:t xml:space="preserve">, men fylkeskommunen er pålagt å bidra til eit mangfald av private og offentlege </w:t>
      </w:r>
      <w:r w:rsidR="00E832B4">
        <w:t>fagskolar. Tilskotet skal kome studentane til gode, og nyttast til studiar som er akkrediterte av Nasjonalt organ for kvalitet i utdanninga (NOKUT). Fylkeskommunen sine plikter følger av Oppdragsbrev om forvaltning av tilskot.</w:t>
      </w:r>
    </w:p>
    <w:p w14:paraId="76EF423F" w14:textId="6B3B4EA4" w:rsidR="004D5093" w:rsidRDefault="008E4401">
      <w:r>
        <w:t>Driftstilskotet til fagskolar skal bidra til at HYU dekker kompetansebehova i samfunnet</w:t>
      </w:r>
      <w:r w:rsidR="00D31C3F">
        <w:t xml:space="preserve">, og det er avgjerande at fagskolane har </w:t>
      </w:r>
      <w:r w:rsidR="00AD23C0">
        <w:t>eit</w:t>
      </w:r>
      <w:r w:rsidR="008917DC">
        <w:t xml:space="preserve"> nært samarbeid med </w:t>
      </w:r>
      <w:r w:rsidR="00A91EC7">
        <w:t>arbeidslivet</w:t>
      </w:r>
      <w:r w:rsidR="008917DC">
        <w:t xml:space="preserve"> og aktuelle fagmiljø.</w:t>
      </w:r>
      <w:r w:rsidR="00E15F34">
        <w:t xml:space="preserve"> </w:t>
      </w:r>
      <w:r w:rsidR="004D5093">
        <w:t xml:space="preserve">Tilskotet skal og stimulere til god kvalitet </w:t>
      </w:r>
      <w:r w:rsidR="00CC4C7B">
        <w:t xml:space="preserve">og </w:t>
      </w:r>
      <w:r w:rsidR="00773980">
        <w:t>auka gjennomføring</w:t>
      </w:r>
      <w:r w:rsidR="00E15F34">
        <w:t>.</w:t>
      </w:r>
    </w:p>
    <w:p w14:paraId="256C3825" w14:textId="44C4D965" w:rsidR="00E15F34" w:rsidRDefault="00774970">
      <w:r>
        <w:t xml:space="preserve">Kunnskapsdepartementet har </w:t>
      </w:r>
      <w:r w:rsidR="009773AA">
        <w:t xml:space="preserve">fastsett </w:t>
      </w:r>
      <w:r w:rsidR="007B3C05">
        <w:t>fire mål for driftstilskotet:</w:t>
      </w:r>
    </w:p>
    <w:p w14:paraId="53C24ABD" w14:textId="76A2B04C" w:rsidR="007B3C05" w:rsidRDefault="007B3C05" w:rsidP="007B3C05">
      <w:pPr>
        <w:pStyle w:val="Listeavsnitt"/>
        <w:numPr>
          <w:ilvl w:val="0"/>
          <w:numId w:val="1"/>
        </w:numPr>
      </w:pPr>
      <w:r>
        <w:t>Høg kvalitet i høgare yrkesfagleg utdanning</w:t>
      </w:r>
    </w:p>
    <w:p w14:paraId="202769C3" w14:textId="6C92FF53" w:rsidR="007B3C05" w:rsidRDefault="007B3C05" w:rsidP="007B3C05">
      <w:pPr>
        <w:pStyle w:val="Listeavsnitt"/>
        <w:numPr>
          <w:ilvl w:val="0"/>
          <w:numId w:val="1"/>
        </w:numPr>
      </w:pPr>
      <w:r>
        <w:t>Yrkesretta høgare yrkesfagleg utdanning</w:t>
      </w:r>
    </w:p>
    <w:p w14:paraId="3F9A1625" w14:textId="05E943DD" w:rsidR="007B3C05" w:rsidRDefault="007B3C05" w:rsidP="007B3C05">
      <w:pPr>
        <w:pStyle w:val="Listeavsnitt"/>
        <w:numPr>
          <w:ilvl w:val="0"/>
          <w:numId w:val="1"/>
        </w:numPr>
      </w:pPr>
      <w:r>
        <w:t>God tilgang til høgare yrkesfagleg utdanning</w:t>
      </w:r>
    </w:p>
    <w:p w14:paraId="21EFB5CE" w14:textId="77157095" w:rsidR="007B3C05" w:rsidRDefault="007B3C05" w:rsidP="007B3C05">
      <w:pPr>
        <w:pStyle w:val="Listeavsnitt"/>
        <w:numPr>
          <w:ilvl w:val="0"/>
          <w:numId w:val="1"/>
        </w:numPr>
      </w:pPr>
      <w:r>
        <w:t>Effektiv og solid fagsk</w:t>
      </w:r>
      <w:r w:rsidR="00A3366E">
        <w:t>olesektor</w:t>
      </w:r>
    </w:p>
    <w:p w14:paraId="7E43F085" w14:textId="77777777" w:rsidR="000F7789" w:rsidRDefault="000F7789" w:rsidP="00A3366E">
      <w:pPr>
        <w:rPr>
          <w:color w:val="FF0000"/>
        </w:rPr>
      </w:pPr>
    </w:p>
    <w:p w14:paraId="34490D9F" w14:textId="671EF82B" w:rsidR="000F7789" w:rsidRDefault="000F7789" w:rsidP="00585F10">
      <w:pPr>
        <w:pStyle w:val="Overskrift2"/>
      </w:pPr>
      <w:r w:rsidRPr="000F7789">
        <w:t>Prioriterte kompetansebehov</w:t>
      </w:r>
    </w:p>
    <w:p w14:paraId="486DF252" w14:textId="6007654E" w:rsidR="000C248D" w:rsidRDefault="006342A0" w:rsidP="00A3366E">
      <w:r>
        <w:t>V</w:t>
      </w:r>
      <w:r w:rsidR="00FB6986">
        <w:t>ed behandling av søknadar</w:t>
      </w:r>
      <w:r w:rsidR="004B0726">
        <w:t xml:space="preserve"> </w:t>
      </w:r>
      <w:r w:rsidR="00441AF9" w:rsidRPr="00ED22A1">
        <w:t>blir det lagt vekt på at utdanninga skal dekk</w:t>
      </w:r>
      <w:r w:rsidR="00E0249F" w:rsidRPr="00ED22A1">
        <w:t>e</w:t>
      </w:r>
      <w:r w:rsidR="00441AF9" w:rsidRPr="00ED22A1">
        <w:t xml:space="preserve"> eit kompetansebehov i Møre og Romsdal.</w:t>
      </w:r>
      <w:r w:rsidR="00FB6986" w:rsidRPr="00ED22A1">
        <w:t xml:space="preserve"> </w:t>
      </w:r>
      <w:r w:rsidR="00441AF9" w:rsidRPr="00ED22A1">
        <w:t>S</w:t>
      </w:r>
      <w:r w:rsidR="001D5D53" w:rsidRPr="00ED22A1">
        <w:t>trategiar og planar i Møre og Romsdal fylke</w:t>
      </w:r>
      <w:r w:rsidR="00791DA0" w:rsidRPr="00ED22A1">
        <w:t xml:space="preserve"> blir</w:t>
      </w:r>
      <w:r w:rsidR="00ED22A1" w:rsidRPr="00ED22A1">
        <w:t xml:space="preserve"> også</w:t>
      </w:r>
      <w:r w:rsidR="001D5D53" w:rsidRPr="00ED22A1">
        <w:t xml:space="preserve"> lagt til grunn</w:t>
      </w:r>
      <w:r w:rsidR="000A553F" w:rsidRPr="00ED22A1">
        <w:t>, særleg</w:t>
      </w:r>
      <w:r w:rsidR="001D5D53" w:rsidRPr="00ED22A1">
        <w:t xml:space="preserve"> Fylkesstrategi for kompetanse</w:t>
      </w:r>
      <w:r w:rsidR="00A20B71" w:rsidRPr="00ED22A1">
        <w:t xml:space="preserve"> </w:t>
      </w:r>
      <w:r w:rsidR="00AE68AF" w:rsidRPr="00ED22A1">
        <w:t>20</w:t>
      </w:r>
      <w:r w:rsidR="00A20B71" w:rsidRPr="00ED22A1">
        <w:t xml:space="preserve">24 </w:t>
      </w:r>
      <w:r w:rsidR="00E04CA2" w:rsidRPr="00ED22A1">
        <w:t>–</w:t>
      </w:r>
      <w:r w:rsidR="00A20B71" w:rsidRPr="00ED22A1">
        <w:t xml:space="preserve"> </w:t>
      </w:r>
      <w:r w:rsidR="00AE68AF" w:rsidRPr="00ED22A1">
        <w:t>20</w:t>
      </w:r>
      <w:r w:rsidR="00A20B71" w:rsidRPr="00ED22A1">
        <w:t>27</w:t>
      </w:r>
      <w:r w:rsidR="005B65AB" w:rsidRPr="00ED22A1">
        <w:t xml:space="preserve">. </w:t>
      </w:r>
      <w:hyperlink r:id="rId8" w:history="1">
        <w:r w:rsidR="00C172C7" w:rsidRPr="00585F10">
          <w:rPr>
            <w:rStyle w:val="Hyperkobling"/>
          </w:rPr>
          <w:t>Vi viser også til kunnskapsgrunnlag for kompetanse</w:t>
        </w:r>
        <w:r w:rsidR="00585F10" w:rsidRPr="00585F10">
          <w:rPr>
            <w:rStyle w:val="Hyperkobling"/>
          </w:rPr>
          <w:t>.</w:t>
        </w:r>
      </w:hyperlink>
      <w:r w:rsidR="00870FD1">
        <w:rPr>
          <w:rStyle w:val="ui-provider"/>
        </w:rPr>
        <w:t xml:space="preserve"> </w:t>
      </w:r>
      <w:r w:rsidR="00F5733A">
        <w:t xml:space="preserve">Det vil også bli lagt vekt på </w:t>
      </w:r>
      <w:r w:rsidR="00D6129C">
        <w:t xml:space="preserve">at det ved utforminga </w:t>
      </w:r>
      <w:r w:rsidR="0068423A">
        <w:t xml:space="preserve">og gjennomføringa av studiet er </w:t>
      </w:r>
      <w:r w:rsidR="008B35C3">
        <w:t xml:space="preserve">teke omsyn til </w:t>
      </w:r>
      <w:r w:rsidR="00C316F4">
        <w:t xml:space="preserve">berekraftsmål, </w:t>
      </w:r>
      <w:r w:rsidR="000C248D">
        <w:t>det grøne skiftet</w:t>
      </w:r>
      <w:r w:rsidR="00C33375">
        <w:t>, behovet for energieffektivisering</w:t>
      </w:r>
      <w:r w:rsidR="000C248D">
        <w:t xml:space="preserve"> og sirkulære løysingar.</w:t>
      </w:r>
    </w:p>
    <w:p w14:paraId="56E5089D" w14:textId="4E60E211" w:rsidR="000C248D" w:rsidRDefault="00AC40AC" w:rsidP="00A3366E">
      <w:r>
        <w:t>Vidare vil vi prioritere tildeling av driftstilskot til utdanningar som bidrar til å dekke kompetansebehova innanfor eit eller fleire av dei følgande områda (ikkje prioritert rekkefølge):</w:t>
      </w:r>
    </w:p>
    <w:p w14:paraId="6A610C58" w14:textId="7B917E27" w:rsidR="00AC40AC" w:rsidRPr="00DA739C" w:rsidRDefault="00ED152B" w:rsidP="00AC40AC">
      <w:pPr>
        <w:pStyle w:val="Listeavsnitt"/>
        <w:numPr>
          <w:ilvl w:val="0"/>
          <w:numId w:val="2"/>
        </w:numPr>
      </w:pPr>
      <w:r w:rsidRPr="00DA739C">
        <w:t>Tekni</w:t>
      </w:r>
      <w:r w:rsidR="000F6BF1" w:rsidRPr="00DA739C">
        <w:t>kk og industri</w:t>
      </w:r>
    </w:p>
    <w:p w14:paraId="713A2051" w14:textId="5447C4BC" w:rsidR="00310F62" w:rsidRPr="00DA739C" w:rsidRDefault="00452B0F" w:rsidP="00AC40AC">
      <w:pPr>
        <w:pStyle w:val="Listeavsnitt"/>
        <w:numPr>
          <w:ilvl w:val="0"/>
          <w:numId w:val="2"/>
        </w:numPr>
      </w:pPr>
      <w:r w:rsidRPr="00DA739C">
        <w:t>Maritim</w:t>
      </w:r>
      <w:r w:rsidR="0040378F" w:rsidRPr="00DA739C">
        <w:t xml:space="preserve"> og marin næring</w:t>
      </w:r>
    </w:p>
    <w:p w14:paraId="080F7099" w14:textId="77777777" w:rsidR="00CF592B" w:rsidRPr="00DA739C" w:rsidRDefault="003021A0" w:rsidP="00CF592B">
      <w:pPr>
        <w:pStyle w:val="Listeavsnitt"/>
        <w:numPr>
          <w:ilvl w:val="0"/>
          <w:numId w:val="2"/>
        </w:numPr>
      </w:pPr>
      <w:r w:rsidRPr="00DA739C">
        <w:t>Helse, omsorg og oppvekst</w:t>
      </w:r>
    </w:p>
    <w:p w14:paraId="32772182" w14:textId="0CB31842" w:rsidR="007956AA" w:rsidRPr="007956AA" w:rsidRDefault="14D2ACFF" w:rsidP="007956AA">
      <w:pPr>
        <w:pStyle w:val="Listeavsnitt"/>
        <w:numPr>
          <w:ilvl w:val="0"/>
          <w:numId w:val="2"/>
        </w:numPr>
      </w:pPr>
      <w:r>
        <w:t>R</w:t>
      </w:r>
      <w:r w:rsidR="00CF592B">
        <w:t>eise-</w:t>
      </w:r>
      <w:r w:rsidR="0016240B">
        <w:t>, kultur-</w:t>
      </w:r>
      <w:r w:rsidR="00CF592B">
        <w:t xml:space="preserve"> og oppl</w:t>
      </w:r>
      <w:r w:rsidR="00ED22A1">
        <w:t>evings</w:t>
      </w:r>
      <w:r w:rsidR="00CF592B">
        <w:t>næring</w:t>
      </w:r>
      <w:r w:rsidR="00131242">
        <w:t>a</w:t>
      </w:r>
      <w:r w:rsidR="00CF592B">
        <w:t>r</w:t>
      </w:r>
    </w:p>
    <w:p w14:paraId="2E97BAC1" w14:textId="25535B7C" w:rsidR="00F7699F" w:rsidRPr="007956AA" w:rsidRDefault="007956AA" w:rsidP="00A3366E">
      <w:pPr>
        <w:rPr>
          <w:color w:val="4472C4" w:themeColor="accent1"/>
        </w:rPr>
      </w:pPr>
      <w:r w:rsidRPr="001B0903">
        <w:t>Om kompetansebehova i fylket tilseier det,</w:t>
      </w:r>
      <w:r w:rsidRPr="007956AA">
        <w:rPr>
          <w:color w:val="4472C4" w:themeColor="accent1"/>
        </w:rPr>
        <w:t xml:space="preserve"> </w:t>
      </w:r>
      <w:r w:rsidR="00AA64C2" w:rsidRPr="0011326D">
        <w:t xml:space="preserve">kan det også bli gitt tilskot til fagskoletilbod </w:t>
      </w:r>
      <w:r w:rsidR="0077385D" w:rsidRPr="0011326D">
        <w:t>på andre område</w:t>
      </w:r>
      <w:r w:rsidR="00C66BC6" w:rsidRPr="0011326D">
        <w:t xml:space="preserve"> enn dei som er omtalt i punkta ovanfor.</w:t>
      </w:r>
    </w:p>
    <w:p w14:paraId="1DF2015D" w14:textId="77777777" w:rsidR="001B0903" w:rsidRDefault="001B0903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64FAD65A" w14:textId="0947AE2F" w:rsidR="00C07BE9" w:rsidRDefault="00E800CF" w:rsidP="00585F10">
      <w:pPr>
        <w:pStyle w:val="Overskrift2"/>
      </w:pPr>
      <w:r w:rsidRPr="00C07BE9">
        <w:lastRenderedPageBreak/>
        <w:t xml:space="preserve">Føresetnadar for å søke om </w:t>
      </w:r>
      <w:r w:rsidR="00C07BE9" w:rsidRPr="00C07BE9">
        <w:t>driftstilskot</w:t>
      </w:r>
    </w:p>
    <w:p w14:paraId="42B67AAF" w14:textId="3C35039C" w:rsidR="00C2534A" w:rsidRDefault="008A2AAA" w:rsidP="008A2AAA">
      <w:pPr>
        <w:pStyle w:val="Listeavsnitt"/>
        <w:numPr>
          <w:ilvl w:val="0"/>
          <w:numId w:val="3"/>
        </w:numPr>
      </w:pPr>
      <w:r>
        <w:t>Utdan</w:t>
      </w:r>
      <w:r w:rsidR="008E3BEA">
        <w:t>n</w:t>
      </w:r>
      <w:r>
        <w:t>inga det søkast om tilskot til må vere akkreditert av NOKUT</w:t>
      </w:r>
      <w:r w:rsidR="00396828">
        <w:t xml:space="preserve">, eller bli gitt av ein fagskole med </w:t>
      </w:r>
      <w:proofErr w:type="spellStart"/>
      <w:r w:rsidR="00396828">
        <w:t>fagområde</w:t>
      </w:r>
      <w:r w:rsidR="00C2534A">
        <w:t>akkreditering</w:t>
      </w:r>
      <w:proofErr w:type="spellEnd"/>
      <w:r w:rsidR="00C2534A">
        <w:t xml:space="preserve"> innanfor det aktuelle fagområdet.</w:t>
      </w:r>
    </w:p>
    <w:p w14:paraId="1F763DA5" w14:textId="77777777" w:rsidR="008F1E47" w:rsidRDefault="00F40EBD" w:rsidP="00F40EBD">
      <w:pPr>
        <w:pStyle w:val="Listeavsnitt"/>
        <w:numPr>
          <w:ilvl w:val="0"/>
          <w:numId w:val="3"/>
        </w:numPr>
      </w:pPr>
      <w:r>
        <w:t xml:space="preserve">Fagskolar som tilbyr stadbaserte utdanningar må ha studiestad i fylket. </w:t>
      </w:r>
    </w:p>
    <w:p w14:paraId="0C1506C2" w14:textId="77777777" w:rsidR="008F1E47" w:rsidRDefault="00F40EBD" w:rsidP="00F40EBD">
      <w:pPr>
        <w:pStyle w:val="Listeavsnitt"/>
        <w:numPr>
          <w:ilvl w:val="0"/>
          <w:numId w:val="3"/>
        </w:numPr>
      </w:pPr>
      <w:r>
        <w:t xml:space="preserve">Fagskolar som tilbyr nettbaserte tilbod med samling må ha kontoradresse </w:t>
      </w:r>
      <w:r w:rsidR="003E183A">
        <w:t xml:space="preserve">eller studiestad i fylket. </w:t>
      </w:r>
    </w:p>
    <w:p w14:paraId="51D03A59" w14:textId="1627B344" w:rsidR="00F40EBD" w:rsidRPr="009E7890" w:rsidRDefault="00F40EBD" w:rsidP="00F40EBD">
      <w:pPr>
        <w:pStyle w:val="Listeavsnitt"/>
        <w:numPr>
          <w:ilvl w:val="0"/>
          <w:numId w:val="3"/>
        </w:numPr>
      </w:pPr>
      <w:r>
        <w:t>Fagskolar som tilbyr reine nettbaserte tilbod må ha kontoradresse i fylket, og synleggjere at studentar dei mott</w:t>
      </w:r>
      <w:r w:rsidR="080DB737">
        <w:t xml:space="preserve">ek </w:t>
      </w:r>
      <w:r>
        <w:t>tilskot for er rekruttert frå fylket.</w:t>
      </w:r>
    </w:p>
    <w:p w14:paraId="782BD50A" w14:textId="77777777" w:rsidR="003B2EDF" w:rsidRPr="008F6B42" w:rsidRDefault="003B2EDF" w:rsidP="003B2EDF">
      <w:pPr>
        <w:pStyle w:val="Listeavsnitt"/>
      </w:pPr>
    </w:p>
    <w:p w14:paraId="6B6F516A" w14:textId="4B110374" w:rsidR="00A409F5" w:rsidRDefault="00A409F5" w:rsidP="00585F10">
      <w:pPr>
        <w:pStyle w:val="Overskrift2"/>
      </w:pPr>
      <w:r>
        <w:t>Prinsipp for tilskotsforvaltning</w:t>
      </w:r>
    </w:p>
    <w:p w14:paraId="0448D123" w14:textId="7059592F" w:rsidR="00E155BF" w:rsidRDefault="000A3B50" w:rsidP="00A3366E">
      <w:r>
        <w:t xml:space="preserve">Møre og Romsdal fylkeskommune forvaltar </w:t>
      </w:r>
      <w:r w:rsidR="008206A9">
        <w:t>driftstilskot til høgare yrkesfagleg utdanning innanfor dei økonomiske ramme</w:t>
      </w:r>
      <w:r w:rsidR="002D7073">
        <w:t>ne</w:t>
      </w:r>
      <w:r w:rsidR="008206A9">
        <w:t xml:space="preserve"> </w:t>
      </w:r>
      <w:r w:rsidR="00E17D51">
        <w:t xml:space="preserve">som </w:t>
      </w:r>
      <w:r w:rsidR="002D7073">
        <w:t xml:space="preserve">til ein kvar tid </w:t>
      </w:r>
      <w:r w:rsidR="5D072027">
        <w:t xml:space="preserve">vert </w:t>
      </w:r>
      <w:r w:rsidR="009C5FF9">
        <w:t>stil</w:t>
      </w:r>
      <w:r w:rsidR="05B94BE0">
        <w:t>t</w:t>
      </w:r>
      <w:r w:rsidR="009C5FF9">
        <w:t xml:space="preserve"> til rådigheit. </w:t>
      </w:r>
    </w:p>
    <w:p w14:paraId="6938A767" w14:textId="32390DA7" w:rsidR="00675C9D" w:rsidRPr="00F576FB" w:rsidRDefault="00E17D51" w:rsidP="00A3366E">
      <w:r>
        <w:t>Det blir lagt vekt på at</w:t>
      </w:r>
      <w:r w:rsidR="00C213E8">
        <w:t xml:space="preserve"> </w:t>
      </w:r>
      <w:r w:rsidR="008940AA">
        <w:t>utdanningar</w:t>
      </w:r>
      <w:r w:rsidR="00892A0E">
        <w:t xml:space="preserve"> er tilgjengeleg for eit bredt </w:t>
      </w:r>
      <w:r w:rsidR="00C213E8">
        <w:t>utval av søkara</w:t>
      </w:r>
      <w:r w:rsidR="008940AA">
        <w:t>r i heile fylket</w:t>
      </w:r>
      <w:r w:rsidR="009C5FF9" w:rsidRPr="00F576FB">
        <w:t>,</w:t>
      </w:r>
      <w:r w:rsidR="00A40ADA" w:rsidRPr="00F576FB">
        <w:t xml:space="preserve"> at </w:t>
      </w:r>
      <w:r w:rsidR="00B171C7" w:rsidRPr="00F576FB">
        <w:t xml:space="preserve">utdanninga </w:t>
      </w:r>
      <w:r w:rsidR="00072EE9" w:rsidRPr="00F576FB">
        <w:t xml:space="preserve">er </w:t>
      </w:r>
      <w:r w:rsidR="00C605C3" w:rsidRPr="00F576FB">
        <w:t>relevant</w:t>
      </w:r>
      <w:r w:rsidR="00FC01ED" w:rsidRPr="00F576FB">
        <w:t xml:space="preserve"> og</w:t>
      </w:r>
      <w:r w:rsidR="002A2A5D" w:rsidRPr="00F576FB">
        <w:t xml:space="preserve"> tilpassa</w:t>
      </w:r>
      <w:r w:rsidR="00412558" w:rsidRPr="00F576FB">
        <w:t xml:space="preserve"> aktuelle</w:t>
      </w:r>
      <w:r w:rsidR="002A2A5D" w:rsidRPr="00F576FB">
        <w:t xml:space="preserve"> studenta</w:t>
      </w:r>
      <w:r w:rsidR="00412558" w:rsidRPr="00F576FB">
        <w:t>r</w:t>
      </w:r>
      <w:r w:rsidR="002A2A5D" w:rsidRPr="00F576FB">
        <w:t xml:space="preserve"> sine behov</w:t>
      </w:r>
      <w:r w:rsidR="00B91DC7" w:rsidRPr="00F576FB">
        <w:t xml:space="preserve">. </w:t>
      </w:r>
    </w:p>
    <w:p w14:paraId="5E01E180" w14:textId="5293D317" w:rsidR="005C3913" w:rsidRPr="00F576FB" w:rsidRDefault="00B91DC7" w:rsidP="00A3366E">
      <w:r>
        <w:t>Vid</w:t>
      </w:r>
      <w:r w:rsidR="70FDC1AF">
        <w:t>a</w:t>
      </w:r>
      <w:r>
        <w:t xml:space="preserve">re </w:t>
      </w:r>
      <w:r w:rsidR="000F1EBE">
        <w:t>vil</w:t>
      </w:r>
      <w:r>
        <w:t xml:space="preserve"> følgande forhold bli tillagt vekt ved vurdering av søknadar:</w:t>
      </w:r>
    </w:p>
    <w:p w14:paraId="0E394031" w14:textId="65690439" w:rsidR="00E17D51" w:rsidRPr="00F576FB" w:rsidRDefault="00EB54E7" w:rsidP="005C3913">
      <w:pPr>
        <w:pStyle w:val="Listeavsnitt"/>
        <w:numPr>
          <w:ilvl w:val="0"/>
          <w:numId w:val="7"/>
        </w:numPr>
      </w:pPr>
      <w:r w:rsidRPr="00F576FB">
        <w:t>Fagskolen har s</w:t>
      </w:r>
      <w:r w:rsidR="005C3913" w:rsidRPr="00F576FB">
        <w:t>amarbeid med lokalt arbeidsliv og fagmiljø lokalt og nasjonalt</w:t>
      </w:r>
      <w:r w:rsidRPr="00F576FB">
        <w:t>,</w:t>
      </w:r>
      <w:r w:rsidR="006116A2" w:rsidRPr="00F576FB">
        <w:t xml:space="preserve"> for å sikre at studia er relevante</w:t>
      </w:r>
      <w:r w:rsidR="00D86C5C" w:rsidRPr="00F576FB">
        <w:t xml:space="preserve"> i fylket</w:t>
      </w:r>
    </w:p>
    <w:p w14:paraId="29E77083" w14:textId="1FD64E21" w:rsidR="00675C9D" w:rsidRPr="00F576FB" w:rsidRDefault="00675C9D" w:rsidP="00E80B40">
      <w:pPr>
        <w:pStyle w:val="Listeavsnitt"/>
        <w:numPr>
          <w:ilvl w:val="0"/>
          <w:numId w:val="7"/>
        </w:numPr>
      </w:pPr>
      <w:r w:rsidRPr="00F576FB">
        <w:t>Utdanninga legg opp til kontakt mellom student og arbeidsliv i løpet av studietida</w:t>
      </w:r>
    </w:p>
    <w:p w14:paraId="7BDE27DC" w14:textId="23FE66FA" w:rsidR="00E80B40" w:rsidRPr="00F576FB" w:rsidRDefault="00875A11" w:rsidP="0011429D">
      <w:pPr>
        <w:pStyle w:val="Listeavsnitt"/>
        <w:numPr>
          <w:ilvl w:val="0"/>
          <w:numId w:val="7"/>
        </w:numPr>
      </w:pPr>
      <w:r>
        <w:t>Utdanninga gir</w:t>
      </w:r>
      <w:r w:rsidR="00AA3CE4">
        <w:t xml:space="preserve"> kompetanse som kan ta</w:t>
      </w:r>
      <w:r w:rsidR="15456EF5">
        <w:t>kast</w:t>
      </w:r>
      <w:r w:rsidR="00AA3CE4">
        <w:t xml:space="preserve"> i bruk for å løyse oppgåver i arbeidslivet utan ytterlegare opplæringstiltak</w:t>
      </w:r>
    </w:p>
    <w:p w14:paraId="7C4D3F16" w14:textId="29A6BC1C" w:rsidR="00D86C5C" w:rsidRPr="00F576FB" w:rsidRDefault="00E80B40" w:rsidP="005C3913">
      <w:pPr>
        <w:pStyle w:val="Listeavsnitt"/>
        <w:numPr>
          <w:ilvl w:val="0"/>
          <w:numId w:val="7"/>
        </w:numPr>
      </w:pPr>
      <w:r w:rsidRPr="00F576FB">
        <w:t>Studiepoengproduksjon og søkartal ved fagskolen og det aktuelle studiet over tid</w:t>
      </w:r>
    </w:p>
    <w:p w14:paraId="456BBEE6" w14:textId="6C001E86" w:rsidR="00EB54E7" w:rsidRPr="00F576FB" w:rsidRDefault="00EB54E7" w:rsidP="005C3913">
      <w:pPr>
        <w:pStyle w:val="Listeavsnitt"/>
        <w:numPr>
          <w:ilvl w:val="0"/>
          <w:numId w:val="7"/>
        </w:numPr>
      </w:pPr>
      <w:r w:rsidRPr="00F576FB">
        <w:t xml:space="preserve">Fagskolen har </w:t>
      </w:r>
      <w:r w:rsidR="00433553" w:rsidRPr="00F576FB">
        <w:t>eit fagmiljø med fagleg styrke, kvalitet og evne til utvikling</w:t>
      </w:r>
    </w:p>
    <w:p w14:paraId="794FA19F" w14:textId="53D46F75" w:rsidR="00E234EA" w:rsidRDefault="005C308C" w:rsidP="00F576FB">
      <w:pPr>
        <w:pStyle w:val="Listeavsnitt"/>
        <w:numPr>
          <w:ilvl w:val="0"/>
          <w:numId w:val="7"/>
        </w:numPr>
      </w:pPr>
      <w:r w:rsidRPr="00F576FB">
        <w:t>Fagskolen legg til rette for at studentane får innføring i studiemetodikk og bruk av digitale hjelpemiddel</w:t>
      </w:r>
    </w:p>
    <w:p w14:paraId="0643314C" w14:textId="23EBA441" w:rsidR="009B2EFF" w:rsidRDefault="00F10225" w:rsidP="00347FB6">
      <w:r>
        <w:t xml:space="preserve">Ved behandling av søknadar </w:t>
      </w:r>
      <w:r w:rsidR="00185AEA">
        <w:t xml:space="preserve">kan fylkeskommunen avgrense talet på </w:t>
      </w:r>
      <w:r w:rsidR="00D81D84">
        <w:t xml:space="preserve">fagskolar som blir gitt tilskot til </w:t>
      </w:r>
      <w:r w:rsidR="00F05CAD">
        <w:t xml:space="preserve">samanliknbare </w:t>
      </w:r>
      <w:r w:rsidR="009B3286">
        <w:t>stud</w:t>
      </w:r>
      <w:r w:rsidR="5FC330D2">
        <w:t>i</w:t>
      </w:r>
      <w:r w:rsidR="009B3286">
        <w:t>e</w:t>
      </w:r>
      <w:r w:rsidR="1B70BFFB">
        <w:t xml:space="preserve"> </w:t>
      </w:r>
      <w:r w:rsidR="009B3286">
        <w:t xml:space="preserve">om det er grunn til å tru at studentgrunnlaget ikkje er stort nok. </w:t>
      </w:r>
      <w:r w:rsidR="00AA2793">
        <w:t>Under elles like vilkår, vil fagskolar som tidlegare har motteke driftstilskot bli prioritert</w:t>
      </w:r>
      <w:r w:rsidR="00DF1549">
        <w:t xml:space="preserve"> før nye tilbydarar. </w:t>
      </w:r>
    </w:p>
    <w:p w14:paraId="2B2B5ACD" w14:textId="1432A36B" w:rsidR="007A2FB7" w:rsidRDefault="00A40DDD" w:rsidP="00347FB6">
      <w:r>
        <w:t xml:space="preserve">Om fylkeskommunen gir tilskot til oppstart av eit studium, forpliktar vi oss også til </w:t>
      </w:r>
      <w:r w:rsidR="00A429F7">
        <w:t xml:space="preserve">vidare </w:t>
      </w:r>
      <w:r>
        <w:t xml:space="preserve">finansiering slik at </w:t>
      </w:r>
      <w:r w:rsidR="00ED688B">
        <w:t xml:space="preserve">fagskolen kan sikre at </w:t>
      </w:r>
      <w:r w:rsidR="009A4671">
        <w:t>studentar som har starta på eit studium kan fullføre dette innanfor planlagt progresjon.</w:t>
      </w:r>
      <w:r w:rsidR="00D72959">
        <w:t xml:space="preserve"> Ein fagskole som startar opp eit studium er forplikta til å sikre at studentane </w:t>
      </w:r>
      <w:r w:rsidR="00C17FFB">
        <w:t>kan fullføre studiet.</w:t>
      </w:r>
    </w:p>
    <w:p w14:paraId="16CB9991" w14:textId="3C4B4685" w:rsidR="00C17FFB" w:rsidRDefault="007D6033" w:rsidP="00347FB6">
      <w:r>
        <w:t xml:space="preserve">Driftstilskot for første </w:t>
      </w:r>
      <w:r w:rsidR="00426BF7">
        <w:t>semester</w:t>
      </w:r>
      <w:r>
        <w:t xml:space="preserve"> blir utbetalt som eit rammetilskot </w:t>
      </w:r>
      <w:r w:rsidR="00BD2995">
        <w:t>berekna ut frå tilsegna som er gitt, forutsett at studiet blir starta. Om reelt studenttal ved oppstart er høgare eller lågare enn</w:t>
      </w:r>
      <w:r w:rsidR="00EB764D">
        <w:t xml:space="preserve"> det som er lagt til grunn ved tilsegn, blir tilskotet for første </w:t>
      </w:r>
      <w:r w:rsidR="007D273B">
        <w:t>semester</w:t>
      </w:r>
      <w:r w:rsidR="00EB764D">
        <w:t xml:space="preserve"> ikkje endra.</w:t>
      </w:r>
    </w:p>
    <w:p w14:paraId="6B12DE9F" w14:textId="6092C9AD" w:rsidR="00AD2DFC" w:rsidRPr="00036113" w:rsidRDefault="0022152A" w:rsidP="00347FB6">
      <w:r>
        <w:t>I</w:t>
      </w:r>
      <w:r w:rsidR="001608CA">
        <w:t>nnrapportert studenttal til</w:t>
      </w:r>
      <w:r w:rsidR="00801857">
        <w:t xml:space="preserve"> Nasjonal database for</w:t>
      </w:r>
      <w:r w:rsidR="00FC7896">
        <w:t xml:space="preserve"> statistikk om fagskoleutdanning (</w:t>
      </w:r>
      <w:r w:rsidR="001608CA">
        <w:t>DBH-F</w:t>
      </w:r>
      <w:r w:rsidR="00FC7896">
        <w:t xml:space="preserve">) </w:t>
      </w:r>
      <w:r>
        <w:t xml:space="preserve">vil </w:t>
      </w:r>
      <w:r w:rsidR="001608CA">
        <w:t>bli lagt til grunn for berekning av tilskot</w:t>
      </w:r>
      <w:r>
        <w:t xml:space="preserve"> andre </w:t>
      </w:r>
      <w:r w:rsidR="005077F6">
        <w:t>semester</w:t>
      </w:r>
      <w:r w:rsidR="00CA1E70">
        <w:t xml:space="preserve">. </w:t>
      </w:r>
      <w:r w:rsidR="00641DAB">
        <w:t xml:space="preserve">Maksimal tildeling vil vere avgrensa til studenttalet det </w:t>
      </w:r>
      <w:r w:rsidR="7AC33293">
        <w:t xml:space="preserve">vart </w:t>
      </w:r>
      <w:r w:rsidR="00641DAB">
        <w:t>gitt tilsegn om tilskot til.</w:t>
      </w:r>
      <w:r w:rsidR="00CD0F60">
        <w:t xml:space="preserve"> Studenttal andre </w:t>
      </w:r>
      <w:r w:rsidR="007D273B">
        <w:t>semester</w:t>
      </w:r>
      <w:r w:rsidR="00CD0F60">
        <w:t xml:space="preserve"> vil </w:t>
      </w:r>
      <w:r w:rsidR="00B75431">
        <w:t>vere</w:t>
      </w:r>
      <w:r w:rsidR="00CD0F60">
        <w:t xml:space="preserve"> grunnlag for </w:t>
      </w:r>
      <w:r w:rsidR="00B75431">
        <w:t>berekning</w:t>
      </w:r>
      <w:r w:rsidR="00CD0F60">
        <w:t xml:space="preserve"> av tilskot til studiet er avslutta.</w:t>
      </w:r>
    </w:p>
    <w:p w14:paraId="74AD4D5F" w14:textId="75FB3D09" w:rsidR="00EC7B4B" w:rsidRPr="002418F0" w:rsidRDefault="00B35050" w:rsidP="00347FB6">
      <w:r w:rsidRPr="002418F0">
        <w:t xml:space="preserve">Gratisprinsippet skal gjelde for finansieringa av Høgare yrkesfagleg utdanning i Møre og Romsdal. </w:t>
      </w:r>
      <w:r w:rsidR="00F206E0" w:rsidRPr="002418F0">
        <w:t>Fagskolar som søker driftstilskot kan ta ei avgrensa avgift på inntil 1000 kroner. Avgifta sk</w:t>
      </w:r>
      <w:r w:rsidR="008C6A8C" w:rsidRPr="002418F0">
        <w:t>al berre dekke administrative kostnadar.</w:t>
      </w:r>
    </w:p>
    <w:p w14:paraId="50A64043" w14:textId="2FE38818" w:rsidR="008A3E5F" w:rsidRDefault="00BB66D5" w:rsidP="00347FB6">
      <w:r>
        <w:lastRenderedPageBreak/>
        <w:t xml:space="preserve">Tilsegn om tilskot til drift </w:t>
      </w:r>
      <w:r w:rsidR="00947356">
        <w:t xml:space="preserve">av studiar </w:t>
      </w:r>
      <w:r>
        <w:t>vil bli gitt i tråd med fylkeskommune</w:t>
      </w:r>
      <w:r w:rsidR="25038504">
        <w:t>n</w:t>
      </w:r>
      <w:r>
        <w:t xml:space="preserve"> sitt årshjul for forvaltning av HYU. Driftstilskot blir utbetala to gonger årleg</w:t>
      </w:r>
      <w:r w:rsidR="00BA0703">
        <w:t>, i tråd med føringar gitt i retningslinjer frå Kunnskapsdepartementet.</w:t>
      </w:r>
    </w:p>
    <w:p w14:paraId="79819AED" w14:textId="317E7A9C" w:rsidR="00BA0703" w:rsidRDefault="002E4827" w:rsidP="00347FB6">
      <w:r>
        <w:t>Møre og Romsdal fylkeskommune opererer ikkje med ettertildeling/krav om tilbakebetaling av tilskot berekna ut frå produserte</w:t>
      </w:r>
      <w:r w:rsidR="006C79D2">
        <w:t xml:space="preserve"> </w:t>
      </w:r>
      <w:r w:rsidR="00824D21">
        <w:t>studiepoeng</w:t>
      </w:r>
      <w:r w:rsidR="006C79D2">
        <w:t xml:space="preserve"> ved ein fagskole, kjent som resultatbasert tilskot. Tilskotet fagskolane får utbetalt årleg </w:t>
      </w:r>
      <w:r w:rsidR="00F763BC">
        <w:t>er 100</w:t>
      </w:r>
      <w:r w:rsidR="170588A7">
        <w:t xml:space="preserve"> </w:t>
      </w:r>
      <w:r w:rsidR="00F763BC">
        <w:t xml:space="preserve">% av tildelinga. </w:t>
      </w:r>
    </w:p>
    <w:p w14:paraId="77EF3E00" w14:textId="77C8A069" w:rsidR="00771A7B" w:rsidRPr="00036113" w:rsidRDefault="00771A7B" w:rsidP="00347FB6">
      <w:r>
        <w:t>Eksterne offentlege fagskolar som søker tilsk</w:t>
      </w:r>
      <w:r w:rsidR="00EA5A2E">
        <w:t xml:space="preserve">ot må dokumentere at tilbodet det </w:t>
      </w:r>
      <w:r w:rsidR="42FADCCE">
        <w:t xml:space="preserve">vert søkt om </w:t>
      </w:r>
      <w:r w:rsidR="00EA5A2E">
        <w:t>blir gitt i eit formalisert samarbeid med Fagskolen Møre og Romsdal.</w:t>
      </w:r>
    </w:p>
    <w:p w14:paraId="197CAC9B" w14:textId="6340BAE2" w:rsidR="00A52AE4" w:rsidRDefault="00A52AE4" w:rsidP="00347FB6">
      <w:r>
        <w:t xml:space="preserve">Fagskolar som mottek økonomisk støtte frå fylkeskommunen til ei eller fleire høgare yrkesfaglege utdanningar, må halde seg til dei føresetnader fylkeskommunen gir i budsjettdokument, tilsegn og tilskotsbrev </w:t>
      </w:r>
      <w:r w:rsidR="00B77C69">
        <w:t>og til føresegner i lov om høgare yrkesfagleg utdanning.</w:t>
      </w:r>
    </w:p>
    <w:p w14:paraId="4342CC69" w14:textId="74D3FD73" w:rsidR="00DA739C" w:rsidRDefault="00A87A57" w:rsidP="00347FB6">
      <w:r>
        <w:t xml:space="preserve">Om fylkeskommunen ikkje bruker opp midlane </w:t>
      </w:r>
      <w:r w:rsidR="00BB49EC">
        <w:t xml:space="preserve">til høgare yrkesfagleg utdanning det året midlane er tildelte for, kan fylkeskommunen overføre midlane til året etter. Midlane må nyttast til det same formålet. </w:t>
      </w:r>
    </w:p>
    <w:p w14:paraId="619149B2" w14:textId="77777777" w:rsidR="00B77C69" w:rsidRPr="00E155BF" w:rsidRDefault="00B77C69" w:rsidP="00736AD0"/>
    <w:p w14:paraId="51B8ADDC" w14:textId="346F11A8" w:rsidR="00884E6E" w:rsidRPr="0025757C" w:rsidRDefault="00884E6E" w:rsidP="00585F10">
      <w:pPr>
        <w:pStyle w:val="Overskrift2"/>
        <w:rPr>
          <w:color w:val="FF0000"/>
        </w:rPr>
      </w:pPr>
      <w:r>
        <w:t>Tilskotssatsar</w:t>
      </w:r>
    </w:p>
    <w:p w14:paraId="0964EB76" w14:textId="267A35C5" w:rsidR="00CD3C0E" w:rsidRDefault="009128C3" w:rsidP="00A3366E">
      <w:r>
        <w:t xml:space="preserve">Fylkeskommunen nyttar </w:t>
      </w:r>
      <w:r w:rsidR="0082076D">
        <w:t>ulike satsar</w:t>
      </w:r>
      <w:r w:rsidR="00CD3C0E">
        <w:t xml:space="preserve"> for ulike utdanningar</w:t>
      </w:r>
      <w:r w:rsidR="00ED521B">
        <w:t xml:space="preserve"> på bakgrunn av ulik</w:t>
      </w:r>
      <w:r w:rsidR="00F00766">
        <w:t>e</w:t>
      </w:r>
      <w:r w:rsidR="00ED521B">
        <w:t xml:space="preserve"> driftskostnadar</w:t>
      </w:r>
      <w:r w:rsidR="00F00766">
        <w:t>.</w:t>
      </w:r>
      <w:r w:rsidR="00347FB6">
        <w:t xml:space="preserve"> </w:t>
      </w:r>
    </w:p>
    <w:p w14:paraId="437B1A50" w14:textId="69700461" w:rsidR="00D6723E" w:rsidRDefault="00DD704A" w:rsidP="00A3366E">
      <w:r>
        <w:t>Fagskolen må ved søknad opplyse om kva form studiet</w:t>
      </w:r>
      <w:r w:rsidR="00D7058C">
        <w:t xml:space="preserve"> vil bli tilbode i. </w:t>
      </w:r>
      <w:r w:rsidR="007B7AC5">
        <w:t xml:space="preserve">NOKUT må ha gitt godkjenning av den aktuelle forma i sitt vedtak om </w:t>
      </w:r>
      <w:proofErr w:type="spellStart"/>
      <w:r w:rsidR="007B7AC5">
        <w:t>akkred</w:t>
      </w:r>
      <w:r w:rsidR="008257E2">
        <w:t>itering</w:t>
      </w:r>
      <w:proofErr w:type="spellEnd"/>
      <w:r w:rsidR="008257E2">
        <w:t xml:space="preserve">. </w:t>
      </w:r>
    </w:p>
    <w:p w14:paraId="432083EA" w14:textId="41511EF0" w:rsidR="00D936F2" w:rsidRPr="009A2E89" w:rsidRDefault="00D936F2" w:rsidP="00D936F2">
      <w:r>
        <w:t>Deltidsstudium får tilskot basert på satsane i % av studiebelastninga per år (til eksempel: 30 studiepoeng per år gir 50% tilskotssats)</w:t>
      </w:r>
      <w:r w:rsidR="4C096FB5">
        <w:t>.</w:t>
      </w:r>
    </w:p>
    <w:p w14:paraId="5DC3FF28" w14:textId="77777777" w:rsidR="00D936F2" w:rsidRPr="009128C3" w:rsidRDefault="00D936F2" w:rsidP="00A336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0"/>
        <w:gridCol w:w="3024"/>
        <w:gridCol w:w="3008"/>
      </w:tblGrid>
      <w:tr w:rsidR="00747CCD" w14:paraId="750CC4ED" w14:textId="77777777" w:rsidTr="00DF3688">
        <w:trPr>
          <w:trHeight w:val="583"/>
        </w:trPr>
        <w:tc>
          <w:tcPr>
            <w:tcW w:w="3070" w:type="dxa"/>
          </w:tcPr>
          <w:p w14:paraId="67AD77B2" w14:textId="500E1268" w:rsidR="00747CCD" w:rsidRPr="00D46550" w:rsidRDefault="00D46550" w:rsidP="00A3366E">
            <w:pPr>
              <w:rPr>
                <w:b/>
                <w:bCs/>
              </w:rPr>
            </w:pPr>
            <w:r w:rsidRPr="00D46550">
              <w:rPr>
                <w:b/>
                <w:bCs/>
              </w:rPr>
              <w:t>202</w:t>
            </w:r>
            <w:r w:rsidR="002D14EE">
              <w:rPr>
                <w:b/>
                <w:bCs/>
              </w:rPr>
              <w:t>5</w:t>
            </w:r>
          </w:p>
        </w:tc>
        <w:tc>
          <w:tcPr>
            <w:tcW w:w="3071" w:type="dxa"/>
          </w:tcPr>
          <w:p w14:paraId="04D5CA93" w14:textId="40E05A13" w:rsidR="00747CCD" w:rsidRPr="00D46550" w:rsidRDefault="00D46550" w:rsidP="00A3366E">
            <w:pPr>
              <w:rPr>
                <w:b/>
                <w:bCs/>
              </w:rPr>
            </w:pPr>
            <w:r w:rsidRPr="00D46550">
              <w:rPr>
                <w:b/>
                <w:bCs/>
              </w:rPr>
              <w:t>Studiepoeng p</w:t>
            </w:r>
            <w:r>
              <w:rPr>
                <w:b/>
                <w:bCs/>
              </w:rPr>
              <w:t>er</w:t>
            </w:r>
            <w:r w:rsidRPr="00D46550">
              <w:rPr>
                <w:b/>
                <w:bCs/>
              </w:rPr>
              <w:t xml:space="preserve"> år</w:t>
            </w:r>
          </w:p>
        </w:tc>
        <w:tc>
          <w:tcPr>
            <w:tcW w:w="3071" w:type="dxa"/>
          </w:tcPr>
          <w:p w14:paraId="18C913E4" w14:textId="79EC51C8" w:rsidR="00747CCD" w:rsidRPr="00D46550" w:rsidRDefault="00D46550" w:rsidP="00A3366E">
            <w:pPr>
              <w:rPr>
                <w:b/>
                <w:bCs/>
              </w:rPr>
            </w:pPr>
            <w:r w:rsidRPr="00D46550">
              <w:rPr>
                <w:b/>
                <w:bCs/>
              </w:rPr>
              <w:t>Tilskot per år</w:t>
            </w:r>
          </w:p>
        </w:tc>
      </w:tr>
      <w:tr w:rsidR="00747CCD" w14:paraId="5CEEEDA5" w14:textId="77777777" w:rsidTr="00DF3688">
        <w:trPr>
          <w:trHeight w:val="428"/>
        </w:trPr>
        <w:tc>
          <w:tcPr>
            <w:tcW w:w="3070" w:type="dxa"/>
          </w:tcPr>
          <w:p w14:paraId="1D64E7E3" w14:textId="7455C0BA" w:rsidR="00747CCD" w:rsidRDefault="007B658E" w:rsidP="00A3366E">
            <w:r>
              <w:t>Heiltidsstudium</w:t>
            </w:r>
            <w:r w:rsidR="006D38D4">
              <w:t xml:space="preserve"> -</w:t>
            </w:r>
            <w:r>
              <w:t xml:space="preserve"> stadbasert</w:t>
            </w:r>
          </w:p>
        </w:tc>
        <w:tc>
          <w:tcPr>
            <w:tcW w:w="3071" w:type="dxa"/>
          </w:tcPr>
          <w:p w14:paraId="4320C376" w14:textId="095CADA2" w:rsidR="00747CCD" w:rsidRDefault="00F07949" w:rsidP="00A3366E">
            <w:r>
              <w:t>60</w:t>
            </w:r>
          </w:p>
        </w:tc>
        <w:tc>
          <w:tcPr>
            <w:tcW w:w="3071" w:type="dxa"/>
          </w:tcPr>
          <w:p w14:paraId="5AF75118" w14:textId="6467CE26" w:rsidR="00747CCD" w:rsidRDefault="00F07949" w:rsidP="00A3366E">
            <w:r>
              <w:t>Kr 9</w:t>
            </w:r>
            <w:r w:rsidR="003E0E69">
              <w:t>8</w:t>
            </w:r>
            <w:r>
              <w:t xml:space="preserve"> 000</w:t>
            </w:r>
          </w:p>
        </w:tc>
      </w:tr>
      <w:tr w:rsidR="00747CCD" w14:paraId="1AC984D1" w14:textId="77777777" w:rsidTr="00DF3688">
        <w:trPr>
          <w:trHeight w:val="416"/>
        </w:trPr>
        <w:tc>
          <w:tcPr>
            <w:tcW w:w="3070" w:type="dxa"/>
          </w:tcPr>
          <w:p w14:paraId="551FAA4F" w14:textId="46FE474D" w:rsidR="00747CCD" w:rsidRDefault="00F07949" w:rsidP="00A3366E">
            <w:r>
              <w:t>Maritime fag</w:t>
            </w:r>
            <w:r w:rsidR="0082076D">
              <w:t xml:space="preserve"> - stadbasert</w:t>
            </w:r>
          </w:p>
        </w:tc>
        <w:tc>
          <w:tcPr>
            <w:tcW w:w="3071" w:type="dxa"/>
          </w:tcPr>
          <w:p w14:paraId="3AD56A99" w14:textId="791066D7" w:rsidR="00747CCD" w:rsidRDefault="00F07949" w:rsidP="00A3366E">
            <w:r>
              <w:t>60</w:t>
            </w:r>
          </w:p>
        </w:tc>
        <w:tc>
          <w:tcPr>
            <w:tcW w:w="3071" w:type="dxa"/>
          </w:tcPr>
          <w:p w14:paraId="28673784" w14:textId="265DBFD5" w:rsidR="00747CCD" w:rsidRDefault="00F07949" w:rsidP="00A3366E">
            <w:r>
              <w:t xml:space="preserve">Kr </w:t>
            </w:r>
            <w:r w:rsidR="00986B3F">
              <w:t>1</w:t>
            </w:r>
            <w:r w:rsidR="006D38D4">
              <w:t>6</w:t>
            </w:r>
            <w:r w:rsidR="00EE37A6">
              <w:t>6</w:t>
            </w:r>
            <w:r w:rsidR="00986B3F">
              <w:t xml:space="preserve"> 000</w:t>
            </w:r>
          </w:p>
        </w:tc>
      </w:tr>
      <w:tr w:rsidR="00747CCD" w14:paraId="5AD5C759" w14:textId="77777777" w:rsidTr="00DF3688">
        <w:trPr>
          <w:trHeight w:val="412"/>
        </w:trPr>
        <w:tc>
          <w:tcPr>
            <w:tcW w:w="3070" w:type="dxa"/>
          </w:tcPr>
          <w:p w14:paraId="3FF912CD" w14:textId="73217887" w:rsidR="00747CCD" w:rsidRDefault="006D38D4" w:rsidP="00A3366E">
            <w:r>
              <w:t xml:space="preserve">Heiltidsstudium </w:t>
            </w:r>
            <w:r w:rsidR="00F16267">
              <w:t>–</w:t>
            </w:r>
            <w:r>
              <w:t xml:space="preserve"> nettbasert</w:t>
            </w:r>
            <w:r w:rsidR="00F16267">
              <w:t>*</w:t>
            </w:r>
          </w:p>
        </w:tc>
        <w:tc>
          <w:tcPr>
            <w:tcW w:w="3071" w:type="dxa"/>
          </w:tcPr>
          <w:p w14:paraId="51532A3F" w14:textId="6F375581" w:rsidR="00747CCD" w:rsidRDefault="005B4992" w:rsidP="00A3366E">
            <w:r>
              <w:t>60</w:t>
            </w:r>
          </w:p>
        </w:tc>
        <w:tc>
          <w:tcPr>
            <w:tcW w:w="3071" w:type="dxa"/>
          </w:tcPr>
          <w:p w14:paraId="7E88A2AD" w14:textId="741E1611" w:rsidR="00550E4B" w:rsidRPr="00204075" w:rsidRDefault="005B4992" w:rsidP="00A3366E">
            <w:pPr>
              <w:rPr>
                <w:color w:val="4472C4" w:themeColor="accent1"/>
              </w:rPr>
            </w:pPr>
            <w:r>
              <w:t>Kr</w:t>
            </w:r>
            <w:r w:rsidR="00204075">
              <w:rPr>
                <w:color w:val="FF0000"/>
              </w:rPr>
              <w:t xml:space="preserve"> </w:t>
            </w:r>
            <w:r w:rsidR="00204075" w:rsidRPr="00027D9E">
              <w:t>8</w:t>
            </w:r>
            <w:r w:rsidR="00EE37A6">
              <w:t>3</w:t>
            </w:r>
            <w:r w:rsidR="00204075" w:rsidRPr="00027D9E">
              <w:t xml:space="preserve"> 000</w:t>
            </w:r>
          </w:p>
        </w:tc>
      </w:tr>
    </w:tbl>
    <w:p w14:paraId="4F94A004" w14:textId="2413739F" w:rsidR="00E155BF" w:rsidRPr="00027D9E" w:rsidRDefault="005B4992" w:rsidP="00A3366E">
      <w:r w:rsidRPr="00027D9E">
        <w:t>*Satsar for nettbaserte stud</w:t>
      </w:r>
      <w:r w:rsidR="009A2E89" w:rsidRPr="00027D9E">
        <w:t>ium inkluderer fysiske samlingar</w:t>
      </w:r>
    </w:p>
    <w:sectPr w:rsidR="00E155BF" w:rsidRPr="0002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60B"/>
    <w:multiLevelType w:val="hybridMultilevel"/>
    <w:tmpl w:val="5858B5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764"/>
    <w:multiLevelType w:val="hybridMultilevel"/>
    <w:tmpl w:val="2268683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460"/>
    <w:multiLevelType w:val="hybridMultilevel"/>
    <w:tmpl w:val="D1F42EF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807416"/>
    <w:multiLevelType w:val="hybridMultilevel"/>
    <w:tmpl w:val="62EA3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5D6A"/>
    <w:multiLevelType w:val="hybridMultilevel"/>
    <w:tmpl w:val="F3268A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510"/>
    <w:multiLevelType w:val="hybridMultilevel"/>
    <w:tmpl w:val="0EFE8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A212E"/>
    <w:multiLevelType w:val="hybridMultilevel"/>
    <w:tmpl w:val="3454E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65BE1"/>
    <w:multiLevelType w:val="hybridMultilevel"/>
    <w:tmpl w:val="2AFA403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834183">
    <w:abstractNumId w:val="4"/>
  </w:num>
  <w:num w:numId="2" w16cid:durableId="549196344">
    <w:abstractNumId w:val="3"/>
  </w:num>
  <w:num w:numId="3" w16cid:durableId="724647944">
    <w:abstractNumId w:val="5"/>
  </w:num>
  <w:num w:numId="4" w16cid:durableId="1602761430">
    <w:abstractNumId w:val="0"/>
  </w:num>
  <w:num w:numId="5" w16cid:durableId="92946533">
    <w:abstractNumId w:val="1"/>
  </w:num>
  <w:num w:numId="6" w16cid:durableId="593369122">
    <w:abstractNumId w:val="7"/>
  </w:num>
  <w:num w:numId="7" w16cid:durableId="611281554">
    <w:abstractNumId w:val="2"/>
  </w:num>
  <w:num w:numId="8" w16cid:durableId="538276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FE"/>
    <w:rsid w:val="00015AFE"/>
    <w:rsid w:val="0002504F"/>
    <w:rsid w:val="00027D9E"/>
    <w:rsid w:val="00036113"/>
    <w:rsid w:val="00040C66"/>
    <w:rsid w:val="00072EE9"/>
    <w:rsid w:val="00082019"/>
    <w:rsid w:val="00090822"/>
    <w:rsid w:val="00096591"/>
    <w:rsid w:val="000A1C3D"/>
    <w:rsid w:val="000A3B50"/>
    <w:rsid w:val="000A553F"/>
    <w:rsid w:val="000A71EA"/>
    <w:rsid w:val="000C248D"/>
    <w:rsid w:val="000C5064"/>
    <w:rsid w:val="000D0EA3"/>
    <w:rsid w:val="000F04BF"/>
    <w:rsid w:val="000F0866"/>
    <w:rsid w:val="000F1EBE"/>
    <w:rsid w:val="000F3AE0"/>
    <w:rsid w:val="000F6BF1"/>
    <w:rsid w:val="000F7789"/>
    <w:rsid w:val="0011326D"/>
    <w:rsid w:val="0011429D"/>
    <w:rsid w:val="00114E43"/>
    <w:rsid w:val="00131242"/>
    <w:rsid w:val="00135BAB"/>
    <w:rsid w:val="0015253B"/>
    <w:rsid w:val="001608CA"/>
    <w:rsid w:val="0016240B"/>
    <w:rsid w:val="001742C8"/>
    <w:rsid w:val="0018502E"/>
    <w:rsid w:val="0018584C"/>
    <w:rsid w:val="00185AEA"/>
    <w:rsid w:val="0019058D"/>
    <w:rsid w:val="001A7AA9"/>
    <w:rsid w:val="001B0903"/>
    <w:rsid w:val="001D5D53"/>
    <w:rsid w:val="001D715B"/>
    <w:rsid w:val="001D7E98"/>
    <w:rsid w:val="001E5264"/>
    <w:rsid w:val="001E5DE3"/>
    <w:rsid w:val="0020334A"/>
    <w:rsid w:val="00204075"/>
    <w:rsid w:val="0022152A"/>
    <w:rsid w:val="00222445"/>
    <w:rsid w:val="00232239"/>
    <w:rsid w:val="002418F0"/>
    <w:rsid w:val="0025757C"/>
    <w:rsid w:val="002641D0"/>
    <w:rsid w:val="002672E9"/>
    <w:rsid w:val="0028164B"/>
    <w:rsid w:val="002875E2"/>
    <w:rsid w:val="0029474E"/>
    <w:rsid w:val="002A0A26"/>
    <w:rsid w:val="002A2A5D"/>
    <w:rsid w:val="002B123D"/>
    <w:rsid w:val="002B7C71"/>
    <w:rsid w:val="002C0920"/>
    <w:rsid w:val="002D14EE"/>
    <w:rsid w:val="002D7073"/>
    <w:rsid w:val="002E4827"/>
    <w:rsid w:val="002E67BE"/>
    <w:rsid w:val="002F263C"/>
    <w:rsid w:val="002F3037"/>
    <w:rsid w:val="003021A0"/>
    <w:rsid w:val="00303858"/>
    <w:rsid w:val="00306E00"/>
    <w:rsid w:val="00310F62"/>
    <w:rsid w:val="00316935"/>
    <w:rsid w:val="00324274"/>
    <w:rsid w:val="00324E3A"/>
    <w:rsid w:val="00325B26"/>
    <w:rsid w:val="0033103A"/>
    <w:rsid w:val="00347FB6"/>
    <w:rsid w:val="003552FC"/>
    <w:rsid w:val="0036054E"/>
    <w:rsid w:val="003722DE"/>
    <w:rsid w:val="0039247E"/>
    <w:rsid w:val="003943C2"/>
    <w:rsid w:val="00396828"/>
    <w:rsid w:val="003A20CA"/>
    <w:rsid w:val="003B2AA1"/>
    <w:rsid w:val="003B2EDF"/>
    <w:rsid w:val="003C239A"/>
    <w:rsid w:val="003C7D40"/>
    <w:rsid w:val="003E0E69"/>
    <w:rsid w:val="003E1509"/>
    <w:rsid w:val="003E183A"/>
    <w:rsid w:val="003F2964"/>
    <w:rsid w:val="003F63CB"/>
    <w:rsid w:val="0040378F"/>
    <w:rsid w:val="00410BAA"/>
    <w:rsid w:val="004122EA"/>
    <w:rsid w:val="00412558"/>
    <w:rsid w:val="00414559"/>
    <w:rsid w:val="004246C4"/>
    <w:rsid w:val="00426BF7"/>
    <w:rsid w:val="00427847"/>
    <w:rsid w:val="00433553"/>
    <w:rsid w:val="00441AF9"/>
    <w:rsid w:val="00445CE1"/>
    <w:rsid w:val="00452B0F"/>
    <w:rsid w:val="004557FC"/>
    <w:rsid w:val="004573CC"/>
    <w:rsid w:val="00462A43"/>
    <w:rsid w:val="0047495E"/>
    <w:rsid w:val="00492025"/>
    <w:rsid w:val="00497152"/>
    <w:rsid w:val="00497D08"/>
    <w:rsid w:val="004B0726"/>
    <w:rsid w:val="004B46C8"/>
    <w:rsid w:val="004C1F34"/>
    <w:rsid w:val="004C43AD"/>
    <w:rsid w:val="004C5F08"/>
    <w:rsid w:val="004D5093"/>
    <w:rsid w:val="004D73B9"/>
    <w:rsid w:val="004E1DFA"/>
    <w:rsid w:val="004E7B24"/>
    <w:rsid w:val="004F2251"/>
    <w:rsid w:val="00504580"/>
    <w:rsid w:val="005077F6"/>
    <w:rsid w:val="00526383"/>
    <w:rsid w:val="00550E4B"/>
    <w:rsid w:val="005534AE"/>
    <w:rsid w:val="0055787B"/>
    <w:rsid w:val="0056477A"/>
    <w:rsid w:val="00573995"/>
    <w:rsid w:val="005739EA"/>
    <w:rsid w:val="00585F10"/>
    <w:rsid w:val="00592E0F"/>
    <w:rsid w:val="00593C0C"/>
    <w:rsid w:val="005A22E1"/>
    <w:rsid w:val="005B25BD"/>
    <w:rsid w:val="005B4992"/>
    <w:rsid w:val="005B65AB"/>
    <w:rsid w:val="005C0C57"/>
    <w:rsid w:val="005C308C"/>
    <w:rsid w:val="005C3913"/>
    <w:rsid w:val="005E4EFB"/>
    <w:rsid w:val="005F2819"/>
    <w:rsid w:val="005F3E7A"/>
    <w:rsid w:val="006049E4"/>
    <w:rsid w:val="00606244"/>
    <w:rsid w:val="006116A2"/>
    <w:rsid w:val="0062199D"/>
    <w:rsid w:val="006342A0"/>
    <w:rsid w:val="00641DAB"/>
    <w:rsid w:val="00651360"/>
    <w:rsid w:val="00652A79"/>
    <w:rsid w:val="00661AB5"/>
    <w:rsid w:val="0066235B"/>
    <w:rsid w:val="00675C9D"/>
    <w:rsid w:val="006809E8"/>
    <w:rsid w:val="0068423A"/>
    <w:rsid w:val="006B059A"/>
    <w:rsid w:val="006C79D2"/>
    <w:rsid w:val="006D224E"/>
    <w:rsid w:val="006D38D4"/>
    <w:rsid w:val="00717EEA"/>
    <w:rsid w:val="0073062B"/>
    <w:rsid w:val="00736AD0"/>
    <w:rsid w:val="007370C2"/>
    <w:rsid w:val="00742873"/>
    <w:rsid w:val="00747CCD"/>
    <w:rsid w:val="007522D3"/>
    <w:rsid w:val="00771A7B"/>
    <w:rsid w:val="00772B11"/>
    <w:rsid w:val="0077339C"/>
    <w:rsid w:val="0077385D"/>
    <w:rsid w:val="00773980"/>
    <w:rsid w:val="00774970"/>
    <w:rsid w:val="00777B92"/>
    <w:rsid w:val="00786A40"/>
    <w:rsid w:val="007878A0"/>
    <w:rsid w:val="00791DA0"/>
    <w:rsid w:val="007956AA"/>
    <w:rsid w:val="007A2FB7"/>
    <w:rsid w:val="007A7E08"/>
    <w:rsid w:val="007B149D"/>
    <w:rsid w:val="007B1A5E"/>
    <w:rsid w:val="007B3C05"/>
    <w:rsid w:val="007B658E"/>
    <w:rsid w:val="007B7AC5"/>
    <w:rsid w:val="007C568E"/>
    <w:rsid w:val="007D1E85"/>
    <w:rsid w:val="007D273B"/>
    <w:rsid w:val="007D55D9"/>
    <w:rsid w:val="007D6033"/>
    <w:rsid w:val="00801857"/>
    <w:rsid w:val="00801BA4"/>
    <w:rsid w:val="008206A9"/>
    <w:rsid w:val="0082076D"/>
    <w:rsid w:val="00824D21"/>
    <w:rsid w:val="00825298"/>
    <w:rsid w:val="008257E2"/>
    <w:rsid w:val="0083681E"/>
    <w:rsid w:val="008465B6"/>
    <w:rsid w:val="0085126C"/>
    <w:rsid w:val="00870FD1"/>
    <w:rsid w:val="00874E9A"/>
    <w:rsid w:val="00875A11"/>
    <w:rsid w:val="00882AD0"/>
    <w:rsid w:val="00884E6E"/>
    <w:rsid w:val="00885BBE"/>
    <w:rsid w:val="008917DC"/>
    <w:rsid w:val="00892A0E"/>
    <w:rsid w:val="00892CCA"/>
    <w:rsid w:val="008940AA"/>
    <w:rsid w:val="008A2AAA"/>
    <w:rsid w:val="008A3E5F"/>
    <w:rsid w:val="008B03A9"/>
    <w:rsid w:val="008B18FE"/>
    <w:rsid w:val="008B1A38"/>
    <w:rsid w:val="008B35C3"/>
    <w:rsid w:val="008C6A8C"/>
    <w:rsid w:val="008C6AE2"/>
    <w:rsid w:val="008D75A0"/>
    <w:rsid w:val="008E24D8"/>
    <w:rsid w:val="008E3BEA"/>
    <w:rsid w:val="008E4401"/>
    <w:rsid w:val="008E67FC"/>
    <w:rsid w:val="008E6CB4"/>
    <w:rsid w:val="008F1E47"/>
    <w:rsid w:val="008F3318"/>
    <w:rsid w:val="008F6B42"/>
    <w:rsid w:val="009128C3"/>
    <w:rsid w:val="0091403F"/>
    <w:rsid w:val="00947356"/>
    <w:rsid w:val="00957089"/>
    <w:rsid w:val="00960BAB"/>
    <w:rsid w:val="00970EFE"/>
    <w:rsid w:val="009773AA"/>
    <w:rsid w:val="00981CC2"/>
    <w:rsid w:val="00984DDF"/>
    <w:rsid w:val="00986B3F"/>
    <w:rsid w:val="0099290A"/>
    <w:rsid w:val="009A2E89"/>
    <w:rsid w:val="009A36D5"/>
    <w:rsid w:val="009A4671"/>
    <w:rsid w:val="009A4EF6"/>
    <w:rsid w:val="009B2EFF"/>
    <w:rsid w:val="009B3286"/>
    <w:rsid w:val="009B5479"/>
    <w:rsid w:val="009C0EB3"/>
    <w:rsid w:val="009C14EB"/>
    <w:rsid w:val="009C5FF9"/>
    <w:rsid w:val="009E7890"/>
    <w:rsid w:val="009E7996"/>
    <w:rsid w:val="009F5BF3"/>
    <w:rsid w:val="00A00E31"/>
    <w:rsid w:val="00A15C81"/>
    <w:rsid w:val="00A20B71"/>
    <w:rsid w:val="00A3366E"/>
    <w:rsid w:val="00A409F5"/>
    <w:rsid w:val="00A40ADA"/>
    <w:rsid w:val="00A40DDD"/>
    <w:rsid w:val="00A429F7"/>
    <w:rsid w:val="00A52AE4"/>
    <w:rsid w:val="00A53B52"/>
    <w:rsid w:val="00A6111F"/>
    <w:rsid w:val="00A65FE7"/>
    <w:rsid w:val="00A81220"/>
    <w:rsid w:val="00A84255"/>
    <w:rsid w:val="00A86C7F"/>
    <w:rsid w:val="00A87A57"/>
    <w:rsid w:val="00A91EC7"/>
    <w:rsid w:val="00AA2793"/>
    <w:rsid w:val="00AA3CE4"/>
    <w:rsid w:val="00AA64C2"/>
    <w:rsid w:val="00AB272F"/>
    <w:rsid w:val="00AB65B7"/>
    <w:rsid w:val="00AC11C6"/>
    <w:rsid w:val="00AC40AC"/>
    <w:rsid w:val="00AD23C0"/>
    <w:rsid w:val="00AD2DFC"/>
    <w:rsid w:val="00AE311F"/>
    <w:rsid w:val="00AE68AF"/>
    <w:rsid w:val="00B0535F"/>
    <w:rsid w:val="00B171C7"/>
    <w:rsid w:val="00B26785"/>
    <w:rsid w:val="00B31A76"/>
    <w:rsid w:val="00B35050"/>
    <w:rsid w:val="00B4155A"/>
    <w:rsid w:val="00B75431"/>
    <w:rsid w:val="00B76956"/>
    <w:rsid w:val="00B772F2"/>
    <w:rsid w:val="00B77C69"/>
    <w:rsid w:val="00B91DC7"/>
    <w:rsid w:val="00B96CD8"/>
    <w:rsid w:val="00BA0703"/>
    <w:rsid w:val="00BB49EC"/>
    <w:rsid w:val="00BB66D5"/>
    <w:rsid w:val="00BD2995"/>
    <w:rsid w:val="00C021EC"/>
    <w:rsid w:val="00C02768"/>
    <w:rsid w:val="00C07BE9"/>
    <w:rsid w:val="00C10232"/>
    <w:rsid w:val="00C102E2"/>
    <w:rsid w:val="00C10A37"/>
    <w:rsid w:val="00C172C7"/>
    <w:rsid w:val="00C17FFB"/>
    <w:rsid w:val="00C213E8"/>
    <w:rsid w:val="00C22DA1"/>
    <w:rsid w:val="00C2534A"/>
    <w:rsid w:val="00C316F4"/>
    <w:rsid w:val="00C33375"/>
    <w:rsid w:val="00C366DD"/>
    <w:rsid w:val="00C539D6"/>
    <w:rsid w:val="00C605C3"/>
    <w:rsid w:val="00C626F7"/>
    <w:rsid w:val="00C66BC6"/>
    <w:rsid w:val="00C71440"/>
    <w:rsid w:val="00C724D7"/>
    <w:rsid w:val="00C7535B"/>
    <w:rsid w:val="00C80698"/>
    <w:rsid w:val="00C8767A"/>
    <w:rsid w:val="00C87868"/>
    <w:rsid w:val="00C942F8"/>
    <w:rsid w:val="00CA1E70"/>
    <w:rsid w:val="00CA7E3D"/>
    <w:rsid w:val="00CB0465"/>
    <w:rsid w:val="00CB0B70"/>
    <w:rsid w:val="00CB12E6"/>
    <w:rsid w:val="00CC4C7B"/>
    <w:rsid w:val="00CD0F60"/>
    <w:rsid w:val="00CD3C0E"/>
    <w:rsid w:val="00CE77EA"/>
    <w:rsid w:val="00CF592B"/>
    <w:rsid w:val="00D01DDF"/>
    <w:rsid w:val="00D14E4B"/>
    <w:rsid w:val="00D20BD3"/>
    <w:rsid w:val="00D31270"/>
    <w:rsid w:val="00D31C3F"/>
    <w:rsid w:val="00D35C9A"/>
    <w:rsid w:val="00D45B35"/>
    <w:rsid w:val="00D46550"/>
    <w:rsid w:val="00D5680A"/>
    <w:rsid w:val="00D6102F"/>
    <w:rsid w:val="00D6129C"/>
    <w:rsid w:val="00D639B8"/>
    <w:rsid w:val="00D6723E"/>
    <w:rsid w:val="00D7058C"/>
    <w:rsid w:val="00D72959"/>
    <w:rsid w:val="00D81D84"/>
    <w:rsid w:val="00D86C5C"/>
    <w:rsid w:val="00D91C91"/>
    <w:rsid w:val="00D936F2"/>
    <w:rsid w:val="00D95593"/>
    <w:rsid w:val="00DA739C"/>
    <w:rsid w:val="00DB7171"/>
    <w:rsid w:val="00DD704A"/>
    <w:rsid w:val="00DE5374"/>
    <w:rsid w:val="00DF1549"/>
    <w:rsid w:val="00DF3688"/>
    <w:rsid w:val="00E002B7"/>
    <w:rsid w:val="00E0249F"/>
    <w:rsid w:val="00E04CA2"/>
    <w:rsid w:val="00E14EFF"/>
    <w:rsid w:val="00E155BF"/>
    <w:rsid w:val="00E15F34"/>
    <w:rsid w:val="00E17D51"/>
    <w:rsid w:val="00E21E98"/>
    <w:rsid w:val="00E234EA"/>
    <w:rsid w:val="00E67B9B"/>
    <w:rsid w:val="00E800CF"/>
    <w:rsid w:val="00E80B40"/>
    <w:rsid w:val="00E832B4"/>
    <w:rsid w:val="00E927D3"/>
    <w:rsid w:val="00EA5A2E"/>
    <w:rsid w:val="00EB4D17"/>
    <w:rsid w:val="00EB54E7"/>
    <w:rsid w:val="00EB764D"/>
    <w:rsid w:val="00EC7B4B"/>
    <w:rsid w:val="00ED152B"/>
    <w:rsid w:val="00ED22A1"/>
    <w:rsid w:val="00ED521B"/>
    <w:rsid w:val="00ED66D1"/>
    <w:rsid w:val="00ED688B"/>
    <w:rsid w:val="00EE37A6"/>
    <w:rsid w:val="00EF084D"/>
    <w:rsid w:val="00EF1B05"/>
    <w:rsid w:val="00EF7600"/>
    <w:rsid w:val="00F00766"/>
    <w:rsid w:val="00F05C3C"/>
    <w:rsid w:val="00F05CAD"/>
    <w:rsid w:val="00F07949"/>
    <w:rsid w:val="00F10225"/>
    <w:rsid w:val="00F16267"/>
    <w:rsid w:val="00F206E0"/>
    <w:rsid w:val="00F355A8"/>
    <w:rsid w:val="00F37D82"/>
    <w:rsid w:val="00F40EBD"/>
    <w:rsid w:val="00F4146C"/>
    <w:rsid w:val="00F475B0"/>
    <w:rsid w:val="00F52FC7"/>
    <w:rsid w:val="00F5733A"/>
    <w:rsid w:val="00F576FB"/>
    <w:rsid w:val="00F64D0C"/>
    <w:rsid w:val="00F65A04"/>
    <w:rsid w:val="00F751DE"/>
    <w:rsid w:val="00F763BC"/>
    <w:rsid w:val="00F76771"/>
    <w:rsid w:val="00F7699F"/>
    <w:rsid w:val="00F963B4"/>
    <w:rsid w:val="00F97233"/>
    <w:rsid w:val="00FA1D1D"/>
    <w:rsid w:val="00FA434A"/>
    <w:rsid w:val="00FB200C"/>
    <w:rsid w:val="00FB6986"/>
    <w:rsid w:val="00FC01ED"/>
    <w:rsid w:val="00FC1E6A"/>
    <w:rsid w:val="00FC7896"/>
    <w:rsid w:val="00FE4875"/>
    <w:rsid w:val="00FE4DB7"/>
    <w:rsid w:val="0455F79D"/>
    <w:rsid w:val="05B94BE0"/>
    <w:rsid w:val="080DB737"/>
    <w:rsid w:val="091DD316"/>
    <w:rsid w:val="11ABE26D"/>
    <w:rsid w:val="1347B2CE"/>
    <w:rsid w:val="14D2ACFF"/>
    <w:rsid w:val="15456EF5"/>
    <w:rsid w:val="170588A7"/>
    <w:rsid w:val="1A89A162"/>
    <w:rsid w:val="1B70BFFB"/>
    <w:rsid w:val="1E8A6575"/>
    <w:rsid w:val="1F5D1285"/>
    <w:rsid w:val="25038504"/>
    <w:rsid w:val="2A50DD2D"/>
    <w:rsid w:val="2DDF5374"/>
    <w:rsid w:val="30D6DCB9"/>
    <w:rsid w:val="3116F436"/>
    <w:rsid w:val="32B2C497"/>
    <w:rsid w:val="35EA6559"/>
    <w:rsid w:val="38A6F62F"/>
    <w:rsid w:val="3A42C690"/>
    <w:rsid w:val="42FADCCE"/>
    <w:rsid w:val="46F44C16"/>
    <w:rsid w:val="4A01EE4B"/>
    <w:rsid w:val="4C096FB5"/>
    <w:rsid w:val="5C9172F4"/>
    <w:rsid w:val="5D072027"/>
    <w:rsid w:val="5FC330D2"/>
    <w:rsid w:val="6161EE2F"/>
    <w:rsid w:val="665E9FD2"/>
    <w:rsid w:val="70FDC1AF"/>
    <w:rsid w:val="7497E18D"/>
    <w:rsid w:val="790E30DC"/>
    <w:rsid w:val="7AC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D1AC"/>
  <w15:chartTrackingRefBased/>
  <w15:docId w15:val="{8F3F02AE-C373-4860-9468-280FB98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5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5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3C05"/>
    <w:pPr>
      <w:ind w:left="720"/>
      <w:contextualSpacing/>
    </w:pPr>
  </w:style>
  <w:style w:type="table" w:styleId="Tabellrutenett">
    <w:name w:val="Table Grid"/>
    <w:basedOn w:val="Vanligtabell"/>
    <w:uiPriority w:val="39"/>
    <w:rsid w:val="0074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9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i-provider">
    <w:name w:val="ui-provider"/>
    <w:basedOn w:val="Standardskriftforavsnitt"/>
    <w:rsid w:val="00870FD1"/>
  </w:style>
  <w:style w:type="character" w:styleId="Hyperkobling">
    <w:name w:val="Hyperlink"/>
    <w:basedOn w:val="Standardskriftforavsnitt"/>
    <w:uiPriority w:val="99"/>
    <w:unhideWhenUsed/>
    <w:rsid w:val="00870FD1"/>
    <w:rPr>
      <w:color w:val="0000FF"/>
      <w:u w:val="single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5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85F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585F10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5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etanse.mrfylke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20" ma:contentTypeDescription="Create a new document." ma:contentTypeScope="" ma:versionID="6c3dd16f5951b39d19a7ef55f0163a8f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7ec7e26074c92a4ddd0634e25e76f20a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55494-A310-45C4-89B0-64CBDB173D71}">
  <ds:schemaRefs>
    <ds:schemaRef ds:uri="http://purl.org/dc/dcmitype/"/>
    <ds:schemaRef ds:uri="3701e9d8-9d59-44b6-8bf6-860d0abd5e88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afddd63-6491-4aac-b663-de08735c2e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0B1C77-A263-422F-9D4B-C7CE51565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22799-F42D-4929-93F6-3B6F2729D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1166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Margrethe Volden</dc:creator>
  <cp:keywords/>
  <dc:description/>
  <cp:lastModifiedBy>Maiken Røshol</cp:lastModifiedBy>
  <cp:revision>3</cp:revision>
  <cp:lastPrinted>2024-05-24T10:00:00Z</cp:lastPrinted>
  <dcterms:created xsi:type="dcterms:W3CDTF">2024-09-11T12:05:00Z</dcterms:created>
  <dcterms:modified xsi:type="dcterms:W3CDTF">2024-09-11T12:20:00Z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MediaServiceImageTags">
    <vt:lpwstr/>
  </property>
</Properties>
</file>